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i w:val="1"/>
          <w:rtl w:val="0"/>
        </w:rPr>
        <w:t xml:space="preserve">Your superior’s name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I’d like to attend IMPLAN’s conference, EconVoyage, in March 2018.</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EconVoyage will take place on a Royal Caribbean cruise ship, and while that alone is appealing enough, the conference itself offers an invaluable learning opportunity that can benefit both myself as a professional and our organization as a whole.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First, the conference will offer job-specific content from industry leaders that will give me actionable information for this company. I’ll be able to bring back relevant knowledge by asking face-to-face questions with true experts; people whose experience can directly benefit our projects and our cause.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Second, this conference will offer great networking opportunities throughout the input-output community. Because IMPLAN is the premier organization when it comes to both new topics in, and the general practice of, automated input-output modeling, the chance to interact with I/O experts openly is worth the conference fee alone.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Third, speaking of the conference fee, it’s very affordable compared to other conferences that we attend each year. There are direct flights to Fort Lauderdale, Florida (where the boat sets sail) so the demands of the travel to and from the conference will be minimal, and per night, the conference accommodations are more affordable than rooms at most hotels.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truly believe there’s a lot of value in attending this conference. Plus, IMPLAN is offering reduced conference rates for early registration, so the sooner I can get approval to book, the more money we save!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Thanks,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i w:val="1"/>
          <w:rtl w:val="0"/>
        </w:rPr>
        <w:t xml:space="preserve">your name</w:t>
      </w:r>
      <w:r w:rsidDel="00000000" w:rsidR="00000000" w:rsidRPr="00000000">
        <w:rPr>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